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FA1C" w14:textId="663DE7B1" w:rsidR="00A51A22" w:rsidRPr="00752AA6" w:rsidRDefault="004F4B15" w:rsidP="00F41715">
      <w:pPr>
        <w:pStyle w:val="a9"/>
        <w:numPr>
          <w:ilvl w:val="0"/>
          <w:numId w:val="3"/>
        </w:numPr>
        <w:spacing w:after="0" w:line="480" w:lineRule="exact"/>
        <w:ind w:hanging="482"/>
        <w:rPr>
          <w:rFonts w:ascii="標楷體" w:eastAsia="標楷體" w:hAnsi="標楷體"/>
          <w:b/>
          <w:bCs/>
        </w:rPr>
      </w:pPr>
      <w:r w:rsidRPr="00752AA6">
        <w:rPr>
          <w:rFonts w:ascii="標楷體" w:eastAsia="標楷體" w:hAnsi="標楷體" w:hint="eastAsia"/>
          <w:b/>
          <w:bCs/>
        </w:rPr>
        <w:t>兒童發展篩檢</w:t>
      </w:r>
      <w:r w:rsidR="004822DF" w:rsidRPr="00752AA6">
        <w:rPr>
          <w:rFonts w:ascii="標楷體" w:eastAsia="標楷體" w:hAnsi="標楷體" w:hint="eastAsia"/>
          <w:b/>
          <w:bCs/>
        </w:rPr>
        <w:t>服務</w:t>
      </w:r>
    </w:p>
    <w:p w14:paraId="3044FA4B" w14:textId="2D96F183" w:rsidR="004822DF" w:rsidRPr="004822DF" w:rsidRDefault="001C3D9B" w:rsidP="00F41715">
      <w:pPr>
        <w:pStyle w:val="a9"/>
        <w:numPr>
          <w:ilvl w:val="0"/>
          <w:numId w:val="8"/>
        </w:numPr>
        <w:spacing w:after="0" w:line="480" w:lineRule="exact"/>
        <w:ind w:hanging="482"/>
        <w:rPr>
          <w:rFonts w:ascii="標楷體" w:eastAsia="標楷體" w:hAnsi="標楷體"/>
        </w:rPr>
      </w:pPr>
      <w:r>
        <w:rPr>
          <w:rFonts w:ascii="標楷體" w:eastAsia="標楷體" w:hAnsi="標楷體" w:hint="eastAsia"/>
        </w:rPr>
        <w:t>服務</w:t>
      </w:r>
      <w:r w:rsidR="00BA6367" w:rsidRPr="004822DF">
        <w:rPr>
          <w:rFonts w:ascii="標楷體" w:eastAsia="標楷體" w:hAnsi="標楷體"/>
        </w:rPr>
        <w:t>對象</w:t>
      </w:r>
      <w:r w:rsidR="004822DF" w:rsidRPr="004822DF">
        <w:rPr>
          <w:rFonts w:ascii="標楷體" w:eastAsia="標楷體" w:hAnsi="標楷體" w:hint="eastAsia"/>
        </w:rPr>
        <w:t>：</w:t>
      </w:r>
      <w:r w:rsidR="00BA6367" w:rsidRPr="004822DF">
        <w:rPr>
          <w:rFonts w:ascii="標楷體" w:eastAsia="標楷體" w:hAnsi="標楷體"/>
        </w:rPr>
        <w:t>未滿7歲兒童</w:t>
      </w:r>
      <w:r w:rsidR="004822DF" w:rsidRPr="004822DF">
        <w:rPr>
          <w:rFonts w:ascii="標楷體" w:eastAsia="標楷體" w:hAnsi="標楷體" w:hint="eastAsia"/>
        </w:rPr>
        <w:t>。</w:t>
      </w:r>
    </w:p>
    <w:p w14:paraId="3D49BAB7" w14:textId="77777777" w:rsidR="004822DF" w:rsidRDefault="004822DF" w:rsidP="00F41715">
      <w:pPr>
        <w:pStyle w:val="a9"/>
        <w:numPr>
          <w:ilvl w:val="0"/>
          <w:numId w:val="8"/>
        </w:numPr>
        <w:spacing w:after="0" w:line="480" w:lineRule="exact"/>
        <w:ind w:hanging="482"/>
        <w:rPr>
          <w:rFonts w:ascii="標楷體" w:eastAsia="標楷體" w:hAnsi="標楷體"/>
        </w:rPr>
      </w:pPr>
      <w:r>
        <w:rPr>
          <w:rFonts w:ascii="標楷體" w:eastAsia="標楷體" w:hAnsi="標楷體" w:hint="eastAsia"/>
        </w:rPr>
        <w:t>篩檢</w:t>
      </w:r>
      <w:r w:rsidRPr="004822DF">
        <w:rPr>
          <w:rFonts w:ascii="標楷體" w:eastAsia="標楷體" w:hAnsi="標楷體" w:hint="eastAsia"/>
        </w:rPr>
        <w:t>時程：6次（6-10個月、10個月-1歲6個月、1歲6個月-2歲、2-3歲、3-5歲、5-未滿7歲）。</w:t>
      </w:r>
    </w:p>
    <w:p w14:paraId="367BF2AE" w14:textId="10611D5A" w:rsidR="004822DF" w:rsidRDefault="004822DF" w:rsidP="00F41715">
      <w:pPr>
        <w:pStyle w:val="a9"/>
        <w:numPr>
          <w:ilvl w:val="0"/>
          <w:numId w:val="8"/>
        </w:numPr>
        <w:spacing w:after="0" w:line="480" w:lineRule="exact"/>
        <w:ind w:hanging="482"/>
        <w:rPr>
          <w:rFonts w:ascii="標楷體" w:eastAsia="標楷體" w:hAnsi="標楷體"/>
        </w:rPr>
      </w:pPr>
      <w:r>
        <w:rPr>
          <w:rFonts w:ascii="標楷體" w:eastAsia="標楷體" w:hAnsi="標楷體" w:hint="eastAsia"/>
        </w:rPr>
        <w:t>服務項目</w:t>
      </w:r>
      <w:r w:rsidRPr="004822DF">
        <w:rPr>
          <w:rFonts w:ascii="標楷體" w:eastAsia="標楷體" w:hAnsi="標楷體" w:hint="eastAsia"/>
        </w:rPr>
        <w:t>：</w:t>
      </w:r>
      <w:r w:rsidRPr="004822DF">
        <w:rPr>
          <w:rFonts w:ascii="標楷體" w:eastAsia="標楷體" w:hAnsi="標楷體"/>
        </w:rPr>
        <w:t>由受過相關訓練之兒科、家醫科專科醫師或幼兒專責醫師，針對粗大動作、精細動作、語言認知及社會發展等四大面向進行評估</w:t>
      </w:r>
      <w:r>
        <w:rPr>
          <w:rFonts w:ascii="標楷體" w:eastAsia="標楷體" w:hAnsi="標楷體" w:hint="eastAsia"/>
        </w:rPr>
        <w:t>。</w:t>
      </w:r>
      <w:r w:rsidR="00ED468C" w:rsidRPr="004822DF">
        <w:rPr>
          <w:rFonts w:ascii="標楷體" w:eastAsia="標楷體" w:hAnsi="標楷體" w:hint="eastAsia"/>
        </w:rPr>
        <w:t>請攜帶兒童健康手冊及健保卡，可搭配「兒童預防保健」與「預防注射」時程，帶孩子至醫療院所接受發展篩檢服務。</w:t>
      </w:r>
    </w:p>
    <w:p w14:paraId="24BBA30F" w14:textId="0D107CC2" w:rsidR="004822DF" w:rsidRPr="00752AA6" w:rsidRDefault="004822DF" w:rsidP="00752AA6">
      <w:pPr>
        <w:pStyle w:val="a9"/>
        <w:numPr>
          <w:ilvl w:val="0"/>
          <w:numId w:val="8"/>
        </w:numPr>
        <w:spacing w:after="0" w:line="480" w:lineRule="exact"/>
        <w:ind w:hanging="482"/>
        <w:rPr>
          <w:rFonts w:ascii="標楷體" w:eastAsia="標楷體" w:hAnsi="標楷體" w:hint="eastAsia"/>
        </w:rPr>
      </w:pPr>
      <w:r>
        <w:rPr>
          <w:rFonts w:ascii="標楷體" w:eastAsia="標楷體" w:hAnsi="標楷體" w:hint="eastAsia"/>
        </w:rPr>
        <w:t>服務地點：</w:t>
      </w:r>
      <w:r w:rsidR="00ED468C" w:rsidRPr="004822DF">
        <w:rPr>
          <w:rFonts w:ascii="標楷體" w:eastAsia="標楷體" w:hAnsi="標楷體" w:hint="eastAsia"/>
        </w:rPr>
        <w:t>請上衛生福利部「兒童醫療健康資訊整合平台/兒童就醫地圖/兒童發展篩檢服務合約院所」</w:t>
      </w:r>
      <w:r w:rsidR="001C3D9B">
        <w:rPr>
          <w:rFonts w:ascii="標楷體" w:eastAsia="標楷體" w:hAnsi="標楷體" w:hint="eastAsia"/>
        </w:rPr>
        <w:t>查詢</w:t>
      </w:r>
      <w:r w:rsidR="00ED468C" w:rsidRPr="004822DF">
        <w:rPr>
          <w:rFonts w:ascii="標楷體" w:eastAsia="標楷體" w:hAnsi="標楷體" w:hint="eastAsia"/>
        </w:rPr>
        <w:t>(</w:t>
      </w:r>
      <w:hyperlink r:id="rId8" w:history="1">
        <w:r w:rsidR="00ED468C" w:rsidRPr="004822DF">
          <w:rPr>
            <w:rStyle w:val="af2"/>
            <w:rFonts w:ascii="標楷體" w:eastAsia="標楷體" w:hAnsi="標楷體"/>
          </w:rPr>
          <w:t>https://healthforkids.mohw.gov.tw/</w:t>
        </w:r>
      </w:hyperlink>
      <w:r w:rsidR="00ED468C" w:rsidRPr="004822DF">
        <w:rPr>
          <w:rFonts w:ascii="標楷體" w:eastAsia="標楷體" w:hAnsi="標楷體" w:hint="eastAsia"/>
        </w:rPr>
        <w:t>)</w:t>
      </w:r>
      <w:r>
        <w:rPr>
          <w:rFonts w:ascii="標楷體" w:eastAsia="標楷體" w:hAnsi="標楷體" w:hint="eastAsia"/>
        </w:rPr>
        <w:t>，請事先電話詢問</w:t>
      </w:r>
      <w:proofErr w:type="gramStart"/>
      <w:r>
        <w:rPr>
          <w:rFonts w:ascii="標楷體" w:eastAsia="標楷體" w:hAnsi="標楷體" w:hint="eastAsia"/>
        </w:rPr>
        <w:t>院所篩檢</w:t>
      </w:r>
      <w:proofErr w:type="gramEnd"/>
      <w:r>
        <w:rPr>
          <w:rFonts w:ascii="標楷體" w:eastAsia="標楷體" w:hAnsi="標楷體" w:hint="eastAsia"/>
        </w:rPr>
        <w:t>服務時間。</w:t>
      </w:r>
    </w:p>
    <w:p w14:paraId="1B907C97" w14:textId="25A41B07" w:rsidR="004822DF" w:rsidRPr="00752AA6" w:rsidRDefault="00752AA6" w:rsidP="00752AA6">
      <w:pPr>
        <w:pStyle w:val="a9"/>
        <w:spacing w:after="0" w:line="480" w:lineRule="exact"/>
        <w:ind w:left="0"/>
        <w:rPr>
          <w:rFonts w:ascii="標楷體" w:eastAsia="標楷體" w:hAnsi="標楷體"/>
          <w:b/>
          <w:bCs/>
        </w:rPr>
      </w:pPr>
      <w:r>
        <w:rPr>
          <w:rFonts w:ascii="標楷體" w:eastAsia="標楷體" w:hAnsi="標楷體" w:hint="eastAsia"/>
          <w:b/>
          <w:bCs/>
        </w:rPr>
        <w:t>二、</w:t>
      </w:r>
      <w:r w:rsidRPr="00752AA6">
        <w:rPr>
          <w:rFonts w:ascii="標楷體" w:eastAsia="標楷體" w:hAnsi="標楷體" w:hint="eastAsia"/>
          <w:b/>
          <w:bCs/>
        </w:rPr>
        <w:t>兒童發展聯合評估</w:t>
      </w:r>
    </w:p>
    <w:p w14:paraId="241B3FDB" w14:textId="59F3E467" w:rsidR="00BA6367" w:rsidRPr="004822DF" w:rsidRDefault="004822DF" w:rsidP="00F41715">
      <w:pPr>
        <w:pStyle w:val="a9"/>
        <w:spacing w:after="0" w:line="480" w:lineRule="exact"/>
        <w:ind w:left="284"/>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1C3D9B">
        <w:rPr>
          <w:rFonts w:ascii="標楷體" w:eastAsia="標楷體" w:hAnsi="標楷體" w:hint="eastAsia"/>
        </w:rPr>
        <w:t>服務</w:t>
      </w:r>
      <w:r w:rsidR="00BA6367" w:rsidRPr="004822DF">
        <w:rPr>
          <w:rFonts w:ascii="標楷體" w:eastAsia="標楷體" w:hAnsi="標楷體" w:hint="eastAsia"/>
        </w:rPr>
        <w:t>對象</w:t>
      </w:r>
      <w:r w:rsidRPr="004822DF">
        <w:rPr>
          <w:rFonts w:ascii="標楷體" w:eastAsia="標楷體" w:hAnsi="標楷體" w:hint="eastAsia"/>
        </w:rPr>
        <w:t>：</w:t>
      </w:r>
    </w:p>
    <w:p w14:paraId="1670D467" w14:textId="5DFF97B0" w:rsidR="009762D1" w:rsidRPr="009762D1" w:rsidRDefault="009762D1" w:rsidP="00F41715">
      <w:pPr>
        <w:pStyle w:val="a9"/>
        <w:numPr>
          <w:ilvl w:val="0"/>
          <w:numId w:val="1"/>
        </w:numPr>
        <w:spacing w:after="0" w:line="480" w:lineRule="exact"/>
        <w:ind w:left="993" w:hanging="284"/>
        <w:rPr>
          <w:rFonts w:ascii="標楷體" w:eastAsia="標楷體" w:hAnsi="標楷體"/>
        </w:rPr>
      </w:pPr>
      <w:r w:rsidRPr="009762D1">
        <w:rPr>
          <w:rFonts w:ascii="標楷體" w:eastAsia="標楷體" w:hAnsi="標楷體" w:hint="eastAsia"/>
        </w:rPr>
        <w:t>設籍新北市。</w:t>
      </w:r>
    </w:p>
    <w:p w14:paraId="58CFEDE8" w14:textId="7F7DE091" w:rsidR="004822DF" w:rsidRDefault="009762D1" w:rsidP="00F41715">
      <w:pPr>
        <w:pStyle w:val="a9"/>
        <w:numPr>
          <w:ilvl w:val="0"/>
          <w:numId w:val="1"/>
        </w:numPr>
        <w:spacing w:after="0" w:line="480" w:lineRule="exact"/>
        <w:ind w:left="993" w:hanging="283"/>
        <w:rPr>
          <w:rFonts w:ascii="標楷體" w:eastAsia="標楷體" w:hAnsi="標楷體"/>
        </w:rPr>
      </w:pPr>
      <w:r w:rsidRPr="009762D1">
        <w:rPr>
          <w:rFonts w:ascii="標楷體" w:eastAsia="標楷體" w:hAnsi="標楷體" w:hint="eastAsia"/>
        </w:rPr>
        <w:t>6歲以下兒童或屆滿6歲兒童</w:t>
      </w:r>
      <w:r w:rsidR="004822DF">
        <w:rPr>
          <w:rFonts w:ascii="標楷體" w:eastAsia="標楷體" w:hAnsi="標楷體" w:hint="eastAsia"/>
        </w:rPr>
        <w:t>，</w:t>
      </w:r>
      <w:r w:rsidRPr="009762D1">
        <w:rPr>
          <w:rFonts w:ascii="標楷體" w:eastAsia="標楷體" w:hAnsi="標楷體" w:hint="eastAsia"/>
        </w:rPr>
        <w:t>但未到入學年齡或已</w:t>
      </w:r>
      <w:proofErr w:type="gramStart"/>
      <w:r w:rsidRPr="009762D1">
        <w:rPr>
          <w:rFonts w:ascii="標楷體" w:eastAsia="標楷體" w:hAnsi="標楷體" w:hint="eastAsia"/>
        </w:rPr>
        <w:t>取得緩讀證明</w:t>
      </w:r>
      <w:proofErr w:type="gramEnd"/>
      <w:r w:rsidRPr="009762D1">
        <w:rPr>
          <w:rFonts w:ascii="標楷體" w:eastAsia="標楷體" w:hAnsi="標楷體" w:hint="eastAsia"/>
        </w:rPr>
        <w:t>者</w:t>
      </w:r>
      <w:r w:rsidR="00BA6367">
        <w:rPr>
          <w:rFonts w:ascii="標楷體" w:eastAsia="標楷體" w:hAnsi="標楷體" w:hint="eastAsia"/>
        </w:rPr>
        <w:t>。</w:t>
      </w:r>
    </w:p>
    <w:p w14:paraId="44CE3062" w14:textId="6935932A" w:rsidR="001C3D9B" w:rsidRDefault="001C3D9B" w:rsidP="00F41715">
      <w:pPr>
        <w:spacing w:after="0" w:line="480" w:lineRule="exact"/>
        <w:ind w:leftChars="118" w:left="283"/>
        <w:rPr>
          <w:rFonts w:ascii="標楷體" w:eastAsia="標楷體" w:hAnsi="標楷體"/>
        </w:rPr>
      </w:pPr>
      <w:r>
        <w:rPr>
          <w:rFonts w:ascii="標楷體" w:eastAsia="標楷體" w:hAnsi="標楷體" w:hint="eastAsia"/>
        </w:rPr>
        <w:t>(二)服務內容：</w:t>
      </w:r>
    </w:p>
    <w:p w14:paraId="320A88C8" w14:textId="2AA08A59" w:rsidR="00752AA6" w:rsidRDefault="001C3D9B" w:rsidP="00F41715">
      <w:pPr>
        <w:spacing w:after="0" w:line="480" w:lineRule="exact"/>
        <w:ind w:leftChars="119" w:left="992" w:hangingChars="294" w:hanging="706"/>
        <w:rPr>
          <w:rFonts w:ascii="標楷體" w:eastAsia="標楷體" w:hAnsi="標楷體"/>
        </w:rPr>
      </w:pPr>
      <w:r>
        <w:rPr>
          <w:rFonts w:ascii="標楷體" w:eastAsia="標楷體" w:hAnsi="標楷體" w:hint="eastAsia"/>
        </w:rPr>
        <w:t xml:space="preserve">    1.</w:t>
      </w:r>
      <w:r w:rsidR="00752AA6">
        <w:rPr>
          <w:rFonts w:ascii="標楷體" w:eastAsia="標楷體" w:hAnsi="標楷體" w:hint="eastAsia"/>
        </w:rPr>
        <w:t>若發現孩子有疑似發展遲緩的情形，可至兒童發展聯合評估中心或評估鑑定醫院掛小兒科、復健科、兒童心智科等門診，由醫師診察，若是診斷為單一發展遲緩，可於門診安排進一步早期療育；若是多重發展遲緩，則由醫師依孩子狀況安排聯合評估。</w:t>
      </w:r>
    </w:p>
    <w:p w14:paraId="6943D3C0" w14:textId="5B26C75C" w:rsidR="001C3D9B" w:rsidRDefault="00752AA6" w:rsidP="00752AA6">
      <w:pPr>
        <w:spacing w:after="0" w:line="480" w:lineRule="exact"/>
        <w:ind w:leftChars="119" w:left="992" w:hangingChars="294" w:hanging="706"/>
        <w:rPr>
          <w:rFonts w:ascii="標楷體" w:eastAsia="標楷體" w:hAnsi="標楷體"/>
        </w:rPr>
      </w:pPr>
      <w:r>
        <w:rPr>
          <w:rFonts w:ascii="標楷體" w:eastAsia="標楷體" w:hAnsi="標楷體" w:hint="eastAsia"/>
        </w:rPr>
        <w:t xml:space="preserve">    2.聯合評估是整合多科別檢查，過程中會由(復健科、兒童神經科、小兒科、耳鼻喉科、身心科等)、職能治療師、物理治療師、語言治療師、臨床/諮商心理師、社工師等專業人員，來判斷孩子發展狀況。</w:t>
      </w:r>
    </w:p>
    <w:p w14:paraId="5860E711" w14:textId="3FB33821" w:rsidR="00D15184" w:rsidRPr="00D15184" w:rsidRDefault="001C3D9B" w:rsidP="00752AA6">
      <w:pPr>
        <w:spacing w:after="0" w:line="480" w:lineRule="exact"/>
        <w:ind w:leftChars="119" w:left="850" w:hangingChars="235" w:hanging="564"/>
        <w:rPr>
          <w:rFonts w:ascii="標楷體" w:eastAsia="標楷體" w:hAnsi="標楷體"/>
        </w:rPr>
      </w:pPr>
      <w:r>
        <w:rPr>
          <w:rFonts w:ascii="標楷體" w:eastAsia="標楷體" w:hAnsi="標楷體" w:hint="eastAsia"/>
        </w:rPr>
        <w:t>(三)服務地點：</w:t>
      </w:r>
      <w:r w:rsidR="00752AA6" w:rsidRPr="001C3D9B">
        <w:rPr>
          <w:rFonts w:ascii="標楷體" w:eastAsia="標楷體" w:hAnsi="標楷體" w:hint="eastAsia"/>
        </w:rPr>
        <w:t>至本市兒童發展聯合評估中心及本市合約評估鑑定醫院接受評估鑑定(需自付掛號費)。</w:t>
      </w:r>
      <w:r w:rsidRPr="004822DF">
        <w:rPr>
          <w:rFonts w:ascii="標楷體" w:eastAsia="標楷體" w:hAnsi="標楷體" w:hint="eastAsia"/>
        </w:rPr>
        <w:t>請上</w:t>
      </w:r>
      <w:r>
        <w:rPr>
          <w:rFonts w:ascii="標楷體" w:eastAsia="標楷體" w:hAnsi="標楷體" w:hint="eastAsia"/>
        </w:rPr>
        <w:t>新北市政府網站/</w:t>
      </w:r>
      <w:r w:rsidRPr="001C3D9B">
        <w:rPr>
          <w:rFonts w:ascii="標楷體" w:eastAsia="標楷體" w:hAnsi="標楷體" w:hint="eastAsia"/>
        </w:rPr>
        <w:t>主題服務</w:t>
      </w:r>
      <w:proofErr w:type="gramStart"/>
      <w:r>
        <w:rPr>
          <w:rFonts w:ascii="標楷體" w:eastAsia="標楷體" w:hAnsi="標楷體" w:hint="eastAsia"/>
        </w:rPr>
        <w:t>/</w:t>
      </w:r>
      <w:r w:rsidRPr="001C3D9B">
        <w:rPr>
          <w:rFonts w:ascii="標楷體" w:eastAsia="標楷體" w:hAnsi="標楷體" w:hint="eastAsia"/>
        </w:rPr>
        <w:t>醫療</w:t>
      </w:r>
      <w:r>
        <w:rPr>
          <w:rFonts w:ascii="標楷體" w:eastAsia="標楷體" w:hAnsi="標楷體" w:hint="eastAsia"/>
        </w:rPr>
        <w:t>/</w:t>
      </w:r>
      <w:r w:rsidRPr="001C3D9B">
        <w:rPr>
          <w:rFonts w:ascii="標楷體" w:eastAsia="標楷體" w:hAnsi="標楷體" w:hint="eastAsia"/>
        </w:rPr>
        <w:t>醫療</w:t>
      </w:r>
      <w:proofErr w:type="gramEnd"/>
      <w:r w:rsidRPr="001C3D9B">
        <w:rPr>
          <w:rFonts w:ascii="標楷體" w:eastAsia="標楷體" w:hAnsi="標楷體" w:hint="eastAsia"/>
        </w:rPr>
        <w:t>篩檢</w:t>
      </w:r>
      <w:r>
        <w:rPr>
          <w:rFonts w:ascii="標楷體" w:eastAsia="標楷體" w:hAnsi="標楷體" w:hint="eastAsia"/>
        </w:rPr>
        <w:t>/</w:t>
      </w:r>
      <w:r w:rsidRPr="001C3D9B">
        <w:rPr>
          <w:rFonts w:ascii="標楷體" w:eastAsia="標楷體" w:hAnsi="標楷體" w:hint="eastAsia"/>
        </w:rPr>
        <w:t>發展遲緩兒童評估鑑定醫院</w:t>
      </w:r>
      <w:r>
        <w:rPr>
          <w:rFonts w:ascii="標楷體" w:eastAsia="標楷體" w:hAnsi="標楷體" w:hint="eastAsia"/>
        </w:rPr>
        <w:t>，查詢(</w:t>
      </w:r>
      <w:hyperlink r:id="rId9" w:history="1">
        <w:r w:rsidRPr="000C50F8">
          <w:rPr>
            <w:rStyle w:val="af2"/>
            <w:rFonts w:ascii="標楷體" w:eastAsia="標楷體" w:hAnsi="標楷體"/>
          </w:rPr>
          <w:t>https://www.ntpc.gov.tw/ch/home.jsp?id=47ec1cab26128d9f</w:t>
        </w:r>
      </w:hyperlink>
      <w:r>
        <w:rPr>
          <w:rFonts w:ascii="標楷體" w:eastAsia="標楷體" w:hAnsi="標楷體" w:hint="eastAsia"/>
        </w:rPr>
        <w:t>)。</w:t>
      </w:r>
    </w:p>
    <w:sectPr w:rsidR="00D15184" w:rsidRPr="00D15184" w:rsidSect="00752AA6">
      <w:pgSz w:w="11906" w:h="16838"/>
      <w:pgMar w:top="1440" w:right="1800"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E354" w14:textId="77777777" w:rsidR="00795324" w:rsidRDefault="00795324" w:rsidP="009762D1">
      <w:pPr>
        <w:spacing w:after="0" w:line="240" w:lineRule="auto"/>
      </w:pPr>
      <w:r>
        <w:separator/>
      </w:r>
    </w:p>
  </w:endnote>
  <w:endnote w:type="continuationSeparator" w:id="0">
    <w:p w14:paraId="069E2FF9" w14:textId="77777777" w:rsidR="00795324" w:rsidRDefault="00795324" w:rsidP="0097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0B1E" w14:textId="77777777" w:rsidR="00795324" w:rsidRDefault="00795324" w:rsidP="009762D1">
      <w:pPr>
        <w:spacing w:after="0" w:line="240" w:lineRule="auto"/>
      </w:pPr>
      <w:r>
        <w:separator/>
      </w:r>
    </w:p>
  </w:footnote>
  <w:footnote w:type="continuationSeparator" w:id="0">
    <w:p w14:paraId="6D7C6535" w14:textId="77777777" w:rsidR="00795324" w:rsidRDefault="00795324" w:rsidP="0097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AEA"/>
    <w:multiLevelType w:val="hybridMultilevel"/>
    <w:tmpl w:val="60529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41093"/>
    <w:multiLevelType w:val="hybridMultilevel"/>
    <w:tmpl w:val="0C36C5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562214"/>
    <w:multiLevelType w:val="hybridMultilevel"/>
    <w:tmpl w:val="4246FE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716A3F"/>
    <w:multiLevelType w:val="hybridMultilevel"/>
    <w:tmpl w:val="74729C8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0EB43A5"/>
    <w:multiLevelType w:val="hybridMultilevel"/>
    <w:tmpl w:val="74E60870"/>
    <w:lvl w:ilvl="0" w:tplc="04090015">
      <w:start w:val="1"/>
      <w:numFmt w:val="taiwaneseCountingThousand"/>
      <w:lvlText w:val="%1、"/>
      <w:lvlJc w:val="left"/>
      <w:pPr>
        <w:ind w:left="480" w:hanging="480"/>
      </w:pPr>
    </w:lvl>
    <w:lvl w:ilvl="1" w:tplc="0409000F">
      <w:start w:val="1"/>
      <w:numFmt w:val="decimal"/>
      <w:lvlText w:val="%2."/>
      <w:lvlJc w:val="left"/>
      <w:pPr>
        <w:ind w:left="905"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32CB138">
      <w:start w:val="1"/>
      <w:numFmt w:val="taiwaneseCountingThousand"/>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7E43AC"/>
    <w:multiLevelType w:val="hybridMultilevel"/>
    <w:tmpl w:val="DF684858"/>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64985722"/>
    <w:multiLevelType w:val="hybridMultilevel"/>
    <w:tmpl w:val="F940BA38"/>
    <w:lvl w:ilvl="0" w:tplc="4FFE2D1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AB90E35"/>
    <w:multiLevelType w:val="hybridMultilevel"/>
    <w:tmpl w:val="9138B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24757283">
    <w:abstractNumId w:val="5"/>
  </w:num>
  <w:num w:numId="2" w16cid:durableId="1718434005">
    <w:abstractNumId w:val="0"/>
  </w:num>
  <w:num w:numId="3" w16cid:durableId="1491869809">
    <w:abstractNumId w:val="4"/>
  </w:num>
  <w:num w:numId="4" w16cid:durableId="1914270897">
    <w:abstractNumId w:val="7"/>
  </w:num>
  <w:num w:numId="5" w16cid:durableId="331957742">
    <w:abstractNumId w:val="2"/>
  </w:num>
  <w:num w:numId="6" w16cid:durableId="1279751295">
    <w:abstractNumId w:val="1"/>
  </w:num>
  <w:num w:numId="7" w16cid:durableId="1298686886">
    <w:abstractNumId w:val="3"/>
  </w:num>
  <w:num w:numId="8" w16cid:durableId="804735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22"/>
    <w:rsid w:val="00057078"/>
    <w:rsid w:val="0011411B"/>
    <w:rsid w:val="001B4DB7"/>
    <w:rsid w:val="001C3D9B"/>
    <w:rsid w:val="001D6AD0"/>
    <w:rsid w:val="00217912"/>
    <w:rsid w:val="004573AB"/>
    <w:rsid w:val="004822DF"/>
    <w:rsid w:val="00494777"/>
    <w:rsid w:val="004D3DF6"/>
    <w:rsid w:val="004F4B15"/>
    <w:rsid w:val="005D5338"/>
    <w:rsid w:val="00752AA6"/>
    <w:rsid w:val="00795324"/>
    <w:rsid w:val="009762D1"/>
    <w:rsid w:val="00A51A22"/>
    <w:rsid w:val="00AA2E3E"/>
    <w:rsid w:val="00B620EF"/>
    <w:rsid w:val="00BA6367"/>
    <w:rsid w:val="00D15184"/>
    <w:rsid w:val="00D152D4"/>
    <w:rsid w:val="00DC1953"/>
    <w:rsid w:val="00E97639"/>
    <w:rsid w:val="00ED468C"/>
    <w:rsid w:val="00F41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B861"/>
  <w15:chartTrackingRefBased/>
  <w15:docId w15:val="{D8C0D15F-6412-4E50-9377-8671D295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A2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51A2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51A2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51A2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51A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1A2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51A2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1A2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51A2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51A2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51A2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51A2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51A2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51A22"/>
    <w:rPr>
      <w:rFonts w:eastAsiaTheme="majorEastAsia" w:cstheme="majorBidi"/>
      <w:color w:val="0F4761" w:themeColor="accent1" w:themeShade="BF"/>
    </w:rPr>
  </w:style>
  <w:style w:type="character" w:customStyle="1" w:styleId="60">
    <w:name w:val="標題 6 字元"/>
    <w:basedOn w:val="a0"/>
    <w:link w:val="6"/>
    <w:uiPriority w:val="9"/>
    <w:semiHidden/>
    <w:rsid w:val="00A51A22"/>
    <w:rPr>
      <w:rFonts w:eastAsiaTheme="majorEastAsia" w:cstheme="majorBidi"/>
      <w:color w:val="595959" w:themeColor="text1" w:themeTint="A6"/>
    </w:rPr>
  </w:style>
  <w:style w:type="character" w:customStyle="1" w:styleId="70">
    <w:name w:val="標題 7 字元"/>
    <w:basedOn w:val="a0"/>
    <w:link w:val="7"/>
    <w:uiPriority w:val="9"/>
    <w:semiHidden/>
    <w:rsid w:val="00A51A22"/>
    <w:rPr>
      <w:rFonts w:eastAsiaTheme="majorEastAsia" w:cstheme="majorBidi"/>
      <w:color w:val="595959" w:themeColor="text1" w:themeTint="A6"/>
    </w:rPr>
  </w:style>
  <w:style w:type="character" w:customStyle="1" w:styleId="80">
    <w:name w:val="標題 8 字元"/>
    <w:basedOn w:val="a0"/>
    <w:link w:val="8"/>
    <w:uiPriority w:val="9"/>
    <w:semiHidden/>
    <w:rsid w:val="00A51A22"/>
    <w:rPr>
      <w:rFonts w:eastAsiaTheme="majorEastAsia" w:cstheme="majorBidi"/>
      <w:color w:val="272727" w:themeColor="text1" w:themeTint="D8"/>
    </w:rPr>
  </w:style>
  <w:style w:type="character" w:customStyle="1" w:styleId="90">
    <w:name w:val="標題 9 字元"/>
    <w:basedOn w:val="a0"/>
    <w:link w:val="9"/>
    <w:uiPriority w:val="9"/>
    <w:semiHidden/>
    <w:rsid w:val="00A51A22"/>
    <w:rPr>
      <w:rFonts w:eastAsiaTheme="majorEastAsia" w:cstheme="majorBidi"/>
      <w:color w:val="272727" w:themeColor="text1" w:themeTint="D8"/>
    </w:rPr>
  </w:style>
  <w:style w:type="paragraph" w:styleId="a3">
    <w:name w:val="Title"/>
    <w:basedOn w:val="a"/>
    <w:next w:val="a"/>
    <w:link w:val="a4"/>
    <w:uiPriority w:val="10"/>
    <w:qFormat/>
    <w:rsid w:val="00A51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51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51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A22"/>
    <w:pPr>
      <w:spacing w:before="160"/>
      <w:jc w:val="center"/>
    </w:pPr>
    <w:rPr>
      <w:i/>
      <w:iCs/>
      <w:color w:val="404040" w:themeColor="text1" w:themeTint="BF"/>
    </w:rPr>
  </w:style>
  <w:style w:type="character" w:customStyle="1" w:styleId="a8">
    <w:name w:val="引文 字元"/>
    <w:basedOn w:val="a0"/>
    <w:link w:val="a7"/>
    <w:uiPriority w:val="29"/>
    <w:rsid w:val="00A51A22"/>
    <w:rPr>
      <w:i/>
      <w:iCs/>
      <w:color w:val="404040" w:themeColor="text1" w:themeTint="BF"/>
    </w:rPr>
  </w:style>
  <w:style w:type="paragraph" w:styleId="a9">
    <w:name w:val="List Paragraph"/>
    <w:basedOn w:val="a"/>
    <w:uiPriority w:val="34"/>
    <w:qFormat/>
    <w:rsid w:val="00A51A22"/>
    <w:pPr>
      <w:ind w:left="720"/>
      <w:contextualSpacing/>
    </w:pPr>
  </w:style>
  <w:style w:type="character" w:styleId="aa">
    <w:name w:val="Intense Emphasis"/>
    <w:basedOn w:val="a0"/>
    <w:uiPriority w:val="21"/>
    <w:qFormat/>
    <w:rsid w:val="00A51A22"/>
    <w:rPr>
      <w:i/>
      <w:iCs/>
      <w:color w:val="0F4761" w:themeColor="accent1" w:themeShade="BF"/>
    </w:rPr>
  </w:style>
  <w:style w:type="paragraph" w:styleId="ab">
    <w:name w:val="Intense Quote"/>
    <w:basedOn w:val="a"/>
    <w:next w:val="a"/>
    <w:link w:val="ac"/>
    <w:uiPriority w:val="30"/>
    <w:qFormat/>
    <w:rsid w:val="00A51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51A22"/>
    <w:rPr>
      <w:i/>
      <w:iCs/>
      <w:color w:val="0F4761" w:themeColor="accent1" w:themeShade="BF"/>
    </w:rPr>
  </w:style>
  <w:style w:type="character" w:styleId="ad">
    <w:name w:val="Intense Reference"/>
    <w:basedOn w:val="a0"/>
    <w:uiPriority w:val="32"/>
    <w:qFormat/>
    <w:rsid w:val="00A51A22"/>
    <w:rPr>
      <w:b/>
      <w:bCs/>
      <w:smallCaps/>
      <w:color w:val="0F4761" w:themeColor="accent1" w:themeShade="BF"/>
      <w:spacing w:val="5"/>
    </w:rPr>
  </w:style>
  <w:style w:type="paragraph" w:styleId="ae">
    <w:name w:val="header"/>
    <w:basedOn w:val="a"/>
    <w:link w:val="af"/>
    <w:uiPriority w:val="99"/>
    <w:unhideWhenUsed/>
    <w:rsid w:val="009762D1"/>
    <w:pPr>
      <w:tabs>
        <w:tab w:val="center" w:pos="4153"/>
        <w:tab w:val="right" w:pos="8306"/>
      </w:tabs>
      <w:snapToGrid w:val="0"/>
    </w:pPr>
    <w:rPr>
      <w:sz w:val="20"/>
      <w:szCs w:val="20"/>
    </w:rPr>
  </w:style>
  <w:style w:type="character" w:customStyle="1" w:styleId="af">
    <w:name w:val="頁首 字元"/>
    <w:basedOn w:val="a0"/>
    <w:link w:val="ae"/>
    <w:uiPriority w:val="99"/>
    <w:rsid w:val="009762D1"/>
    <w:rPr>
      <w:sz w:val="20"/>
      <w:szCs w:val="20"/>
    </w:rPr>
  </w:style>
  <w:style w:type="paragraph" w:styleId="af0">
    <w:name w:val="footer"/>
    <w:basedOn w:val="a"/>
    <w:link w:val="af1"/>
    <w:uiPriority w:val="99"/>
    <w:unhideWhenUsed/>
    <w:rsid w:val="009762D1"/>
    <w:pPr>
      <w:tabs>
        <w:tab w:val="center" w:pos="4153"/>
        <w:tab w:val="right" w:pos="8306"/>
      </w:tabs>
      <w:snapToGrid w:val="0"/>
    </w:pPr>
    <w:rPr>
      <w:sz w:val="20"/>
      <w:szCs w:val="20"/>
    </w:rPr>
  </w:style>
  <w:style w:type="character" w:customStyle="1" w:styleId="af1">
    <w:name w:val="頁尾 字元"/>
    <w:basedOn w:val="a0"/>
    <w:link w:val="af0"/>
    <w:uiPriority w:val="99"/>
    <w:rsid w:val="009762D1"/>
    <w:rPr>
      <w:sz w:val="20"/>
      <w:szCs w:val="20"/>
    </w:rPr>
  </w:style>
  <w:style w:type="character" w:styleId="af2">
    <w:name w:val="Hyperlink"/>
    <w:basedOn w:val="a0"/>
    <w:uiPriority w:val="99"/>
    <w:unhideWhenUsed/>
    <w:rsid w:val="00ED468C"/>
    <w:rPr>
      <w:color w:val="467886" w:themeColor="hyperlink"/>
      <w:u w:val="single"/>
    </w:rPr>
  </w:style>
  <w:style w:type="character" w:styleId="af3">
    <w:name w:val="Unresolved Mention"/>
    <w:basedOn w:val="a0"/>
    <w:uiPriority w:val="99"/>
    <w:semiHidden/>
    <w:unhideWhenUsed/>
    <w:rsid w:val="00ED4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99893">
      <w:bodyDiv w:val="1"/>
      <w:marLeft w:val="0"/>
      <w:marRight w:val="0"/>
      <w:marTop w:val="0"/>
      <w:marBottom w:val="0"/>
      <w:divBdr>
        <w:top w:val="none" w:sz="0" w:space="0" w:color="auto"/>
        <w:left w:val="none" w:sz="0" w:space="0" w:color="auto"/>
        <w:bottom w:val="none" w:sz="0" w:space="0" w:color="auto"/>
        <w:right w:val="none" w:sz="0" w:space="0" w:color="auto"/>
      </w:divBdr>
    </w:div>
    <w:div w:id="834565767">
      <w:bodyDiv w:val="1"/>
      <w:marLeft w:val="0"/>
      <w:marRight w:val="0"/>
      <w:marTop w:val="0"/>
      <w:marBottom w:val="0"/>
      <w:divBdr>
        <w:top w:val="none" w:sz="0" w:space="0" w:color="auto"/>
        <w:left w:val="none" w:sz="0" w:space="0" w:color="auto"/>
        <w:bottom w:val="none" w:sz="0" w:space="0" w:color="auto"/>
        <w:right w:val="none" w:sz="0" w:space="0" w:color="auto"/>
      </w:divBdr>
    </w:div>
    <w:div w:id="11465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orkids.mohw.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tpc.gov.tw/ch/home.jsp?id=47ec1cab26128d9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9DB0-F19D-48CD-B345-18B51E03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健康管理科-翁明楷</dc:creator>
  <cp:keywords/>
  <dc:description/>
  <cp:lastModifiedBy>User</cp:lastModifiedBy>
  <cp:revision>4</cp:revision>
  <dcterms:created xsi:type="dcterms:W3CDTF">2026-04-14T04:18:00Z</dcterms:created>
  <dcterms:modified xsi:type="dcterms:W3CDTF">2026-04-14T04:46:00Z</dcterms:modified>
</cp:coreProperties>
</file>